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36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36"/>
          <w:szCs w:val="24"/>
        </w:rPr>
        <w:t>Indian Institute of Technology Hyderabad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Admission of Foreign Nationals in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M.Tech. Program at Indian Institute of Technology Hyderabad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(Guidelines and Application form)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cstheme="minorHAnsi" w:ascii="Calibri" w:hAnsi="Calibri"/>
          <w:b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1. IIT Hyderabad offers 2 years M. Tech. / M.Des. Program for foreign nationals in the following departments: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Bio Medical Engineering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Bio Technology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Chemical Engineering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Civil Engineering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Computer Science &amp; Engineering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Electrical Engineering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Material Science and Metallurgical Engineering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Mechanical &amp; Aerospace Engineering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Design (M.Des. Program)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Calibri" w:ascii="Calibri" w:hAnsi="Calibri" w:asciiTheme="minorHAnsi" w:cstheme="minorHAnsi" w:hAnsiTheme="minorHAnsi"/>
          <w:szCs w:val="24"/>
        </w:rPr>
        <w:t xml:space="preserve">(Refer </w:t>
      </w:r>
      <w:hyperlink r:id="rId2">
        <w:r>
          <w:rPr>
            <w:rStyle w:val="InternetLink"/>
            <w:rFonts w:cs="Calibri" w:ascii="Calibri" w:hAnsi="Calibri" w:asciiTheme="minorHAnsi" w:cstheme="minorHAnsi" w:hAnsiTheme="minorHAnsi"/>
            <w:szCs w:val="24"/>
          </w:rPr>
          <w:t>http://www.iith.ac.in/index.php/admission</w:t>
        </w:r>
        <w:r>
          <w:rPr>
            <w:rStyle w:val="InternetLink"/>
            <w:rFonts w:cs="Calibri" w:ascii="Calibri" w:hAnsi="Calibri" w:asciiTheme="minorHAnsi" w:cstheme="minorHAnsi" w:hAnsiTheme="minorHAnsi"/>
            <w:szCs w:val="24"/>
          </w:rPr>
          <w:t>s</w:t>
        </w:r>
        <w:r>
          <w:rPr>
            <w:rStyle w:val="InternetLink"/>
            <w:rFonts w:cs="Calibri" w:ascii="Calibri" w:hAnsi="Calibri" w:asciiTheme="minorHAnsi" w:cstheme="minorHAnsi" w:hAnsiTheme="minorHAnsi"/>
            <w:szCs w:val="24"/>
          </w:rPr>
          <w:t>/</w:t>
        </w:r>
        <w:r>
          <w:rPr>
            <w:rStyle w:val="InternetLink"/>
            <w:rFonts w:cs="Calibri" w:ascii="Calibri" w:hAnsi="Calibri" w:asciiTheme="minorHAnsi" w:cstheme="minorHAnsi" w:hAnsiTheme="minorHAnsi"/>
            <w:szCs w:val="24"/>
          </w:rPr>
          <w:t>pg</w:t>
        </w:r>
      </w:hyperlink>
      <w:r>
        <w:rPr>
          <w:rFonts w:cs="Calibri" w:ascii="Calibri" w:hAnsi="Calibri" w:asciiTheme="minorHAnsi" w:cstheme="minorHAnsi" w:hAnsiTheme="minorHAnsi"/>
          <w:szCs w:val="24"/>
        </w:rPr>
        <w:t xml:space="preserve"> for specializations available in each M. Tech. / M.Des.</w:t>
      </w:r>
      <w:r>
        <w:rPr>
          <w:rFonts w:cs="Calibri" w:ascii="Calibri" w:hAnsi="Calibri" w:asciiTheme="minorHAnsi" w:cstheme="minorHAnsi" w:hAnsiTheme="minorHAnsi"/>
          <w:b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Cs w:val="24"/>
        </w:rPr>
        <w:t xml:space="preserve">Program)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The medium of instruction at IIT Hyderabad is English.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Cs w:val="24"/>
          <w:u w:val="single"/>
        </w:rPr>
      </w:pPr>
      <w:r>
        <w:rPr>
          <w:rFonts w:cs="Calibri" w:cstheme="minorHAnsi" w:ascii="Calibri" w:hAnsi="Calibri"/>
          <w:b/>
          <w:szCs w:val="24"/>
          <w:u w:val="single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The Foreign Nationals Candidates who are NOT citizens of India (by birth or naturalized), do not belong to PIO/OCI category, and whose parents are not citizens of India and do not come under PIO/OCI category at the time of applying - can seek admission under the following categories</w:t>
      </w:r>
    </w:p>
    <w:p>
      <w:pPr>
        <w:pStyle w:val="ListParagraph"/>
        <w:numPr>
          <w:ilvl w:val="1"/>
          <w:numId w:val="4"/>
        </w:numPr>
        <w:spacing w:lineRule="auto" w:line="24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Self-financing Students</w:t>
      </w:r>
    </w:p>
    <w:p>
      <w:pPr>
        <w:pStyle w:val="ListParagraph"/>
        <w:numPr>
          <w:ilvl w:val="1"/>
          <w:numId w:val="4"/>
        </w:numPr>
        <w:spacing w:lineRule="auto" w:line="24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Visiting students:</w:t>
      </w:r>
      <w:r>
        <w:rPr>
          <w:rFonts w:ascii="Calibri" w:hAnsi="Calibri" w:asciiTheme="minorHAnsi" w:hAnsiTheme="minorHAnsi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Cs w:val="24"/>
        </w:rPr>
        <w:t>A Foreign National student who has registered at a recognized Institute/ University in India or abroad and officially recommended by the Institute/University where he/she is studying and wishes to carry out research or to avail academic facilities or credit a set of courses, for a maximum period of 6 months.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Seats allotted to foreign nationals are supernumerary with a cap of 10% of total number of seats in every course.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000000"/>
          <w:spacing w:val="-10"/>
          <w:szCs w:val="24"/>
        </w:rPr>
      </w:pPr>
      <w:r>
        <w:rPr>
          <w:rFonts w:cs="Calibri" w:cstheme="minorHAnsi" w:ascii="Calibri" w:hAnsi="Calibri"/>
          <w:color w:val="000000"/>
          <w:spacing w:val="-10"/>
          <w:szCs w:val="24"/>
        </w:rPr>
      </w:r>
    </w:p>
    <w:tbl>
      <w:tblPr>
        <w:tblW w:w="996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56"/>
        <w:gridCol w:w="306"/>
        <w:gridCol w:w="4999"/>
      </w:tblGrid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szCs w:val="24"/>
              </w:rPr>
              <w:t>Self-Financing Students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 w:themeColor="text1"/>
                <w:szCs w:val="24"/>
              </w:rPr>
              <w:t>Visiting Students – (course or project work for a maximum period of 6 months)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Send application to IIT Hyderabad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Send online application to IIT Hyderabad along with recommendation letter form University where registered for degree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 xml:space="preserve">IIT Hyderabad shortlists the candidate/s for interview (phone/video conference) and makes decision to accept/not accept the candidates with help of competent committees of the respective departments 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IIT Hyderabad shortlists the candidate/s for interview (phone/video conference) and makes decision to accept/not accept the candidates with help of competent committees of the respective departments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Clearance for suitable candidates sought from MHRD by IIT Hyderabad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Clearance for suitable candidate sought from MHRD by IIT Hyderabad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 xml:space="preserve">Offer letter sent to applicant upon clearance from MHRD 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Offer letter containing terms and conditions is sent to applicant upon clearance from MHRD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Selected candidates apply for Student/Research Visa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Selected candidates apply for student visa for 6 months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I</w:t>
            </w:r>
          </w:p>
        </w:tc>
      </w:tr>
      <w:tr>
        <w:trPr>
          <w:trHeight w:val="20" w:hRule="atLeast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 xml:space="preserve">Registration and payment of fees </w:t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cstheme="minorHAnsi" w:ascii="Calibri" w:hAnsi="Calibri"/>
                <w:color w:val="000000"/>
                <w:szCs w:val="24"/>
              </w:rPr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Cs w:val="24"/>
              </w:rPr>
              <w:t>Registration and payment of fees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  <w:spacing w:val="-10"/>
          <w:szCs w:val="24"/>
        </w:rPr>
      </w:pPr>
      <w:r>
        <w:rPr>
          <w:rFonts w:cs="Calibri" w:cstheme="minorHAnsi" w:ascii="Calibri" w:hAnsi="Calibri"/>
          <w:color w:val="000000"/>
          <w:spacing w:val="-10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Minimum eligibility for admission to the M. Tech. / M.Des. Program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cstheme="minorHAnsi" w:ascii="Calibri" w:hAnsi="Calibri"/>
          <w:b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The candidate may exercise </w:t>
      </w:r>
      <w:r>
        <w:rPr>
          <w:rFonts w:cs="Calibri" w:ascii="Calibri" w:hAnsi="Calibri" w:asciiTheme="minorHAnsi" w:cstheme="minorHAnsi" w:hAnsiTheme="minorHAnsi"/>
          <w:b/>
          <w:i/>
          <w:szCs w:val="24"/>
        </w:rPr>
        <w:t>one of the following</w:t>
      </w:r>
      <w:r>
        <w:rPr>
          <w:rFonts w:cs="Calibri" w:ascii="Calibri" w:hAnsi="Calibri" w:asciiTheme="minorHAnsi" w:cstheme="minorHAnsi" w:hAnsiTheme="minorHAnsi"/>
          <w:szCs w:val="24"/>
        </w:rPr>
        <w:t xml:space="preserve"> options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Calibri" w:hAnsi="Calibri" w:eastAsia="Times New Roman" w:cs="Calibri" w:asciiTheme="minorHAnsi" w:cstheme="minorHAnsi" w:hAnsiTheme="minorHAnsi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>Qualifying Degree from India (except from IITs) / Abroad and with valid GATE score. (as per the M.Tech.</w:t>
      </w:r>
      <w:r>
        <w:rPr>
          <w:rFonts w:cs="Calibri" w:ascii="Calibri" w:hAnsi="Calibri" w:asciiTheme="minorHAnsi" w:cstheme="minorHAnsi" w:hAnsiTheme="minorHAnsi"/>
          <w:color w:val="000000"/>
          <w:spacing w:val="-13"/>
          <w:szCs w:val="24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 xml:space="preserve">Admission Brochure of IIT Hyderabad). For details and submission of online application visit: </w:t>
      </w:r>
      <w:r>
        <w:rPr>
          <w:rFonts w:eastAsia="Times New Roman" w:cs="Calibri" w:ascii="Calibri" w:hAnsi="Calibri" w:asciiTheme="minorHAnsi" w:cstheme="minorHAnsi" w:hAnsiTheme="minorHAnsi"/>
          <w:szCs w:val="24"/>
        </w:rPr>
        <w:t>http://www.iith.ac.in/index.php/admission/mtech-admission</w:t>
      </w:r>
    </w:p>
    <w:p>
      <w:pPr>
        <w:pStyle w:val="Normal"/>
        <w:spacing w:lineRule="auto" w:line="240"/>
        <w:ind w:left="360" w:hanging="0"/>
        <w:jc w:val="center"/>
        <w:rPr>
          <w:rFonts w:ascii="Calibri" w:hAnsi="Calibri" w:eastAsia="Times New Roman" w:cs="Calibri" w:asciiTheme="minorHAnsi" w:cstheme="minorHAnsi" w:hAnsiTheme="minorHAnsi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szCs w:val="24"/>
        </w:rPr>
        <w:t>or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>Qualifying Degree from IITs with CGPA is 8.0 and Above (as per the M.Tech.</w:t>
      </w:r>
      <w:r>
        <w:rPr>
          <w:rFonts w:ascii="Calibri" w:hAnsi="Calibri" w:asciiTheme="minorHAnsi" w:hAnsiTheme="minorHAnsi"/>
          <w:b/>
          <w:color w:val="FF0000"/>
          <w:szCs w:val="24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 xml:space="preserve">Admission Brochure of IIT Hyderabad). For details and submission of online application visit: </w:t>
      </w:r>
      <w:r>
        <w:rPr>
          <w:rFonts w:eastAsia="Times New Roman" w:cs="Calibri" w:ascii="Calibri" w:hAnsi="Calibri" w:asciiTheme="minorHAnsi" w:cstheme="minorHAnsi" w:hAnsiTheme="minorHAnsi"/>
          <w:szCs w:val="24"/>
        </w:rPr>
        <w:t>http://www.iith.ac.in/index.php/admission/mtech-admission</w:t>
      </w:r>
    </w:p>
    <w:p>
      <w:pPr>
        <w:pStyle w:val="Normal"/>
        <w:spacing w:lineRule="auto" w:line="240"/>
        <w:ind w:left="360" w:hanging="0"/>
        <w:jc w:val="center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>or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>Qualifying Degree from Universities abroad along with GRE.</w:t>
      </w:r>
    </w:p>
    <w:p>
      <w:pPr>
        <w:pStyle w:val="ListParagraph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cstheme="minorHAnsi" w:ascii="Calibri" w:hAnsi="Calibri"/>
          <w:color w:val="000000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GRE requirement is not applicable to visiting students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The candidate should not be more than 25 years of age on 1st July of the corresponding year of application.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>Each year the senate of IITH will decide the number of number of foreign nationals to be admitted per year in various specializations in each M. Tech./M.Des. program.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>Merely fulfilling the minimum eligibility criteria does not guarantee the selection of a candidate into any program.</w:t>
      </w:r>
    </w:p>
    <w:p>
      <w:pPr>
        <w:pStyle w:val="ListParagraph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color w:val="000000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  <w:szCs w:val="24"/>
        </w:rPr>
        <w:t xml:space="preserve">Application Procedure </w:t>
      </w:r>
    </w:p>
    <w:p>
      <w:pPr>
        <w:pStyle w:val="ListParagraph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cstheme="minorHAnsi" w:ascii="Calibri" w:hAnsi="Calibri"/>
          <w:color w:val="000000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Calibri" w:hAnsi="Calibri" w:eastAsia="Times New Roman" w:cs="Calibri" w:asciiTheme="minorHAnsi" w:cstheme="minorHAnsi" w:hAnsiTheme="minorHAnsi"/>
          <w:color w:val="000000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>Application can be submitted in prescribed form (download link</w:t>
      </w:r>
      <w:bookmarkStart w:id="0" w:name="_GoBack"/>
      <w:bookmarkEnd w:id="0"/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 xml:space="preserve">: </w:t>
      </w:r>
      <w:r>
        <w:rPr>
          <w:rFonts w:eastAsia="Times New Roman" w:cs="Calibri" w:ascii="Calibri" w:hAnsi="Calibri" w:asciiTheme="minorHAnsi" w:cstheme="minorHAnsi" w:hAnsiTheme="minorHAnsi"/>
          <w:color w:val="FF0000"/>
          <w:szCs w:val="24"/>
        </w:rPr>
        <w:t>XXXXXXXXX</w:t>
      </w:r>
      <w:r>
        <w:rPr>
          <w:rFonts w:eastAsia="Times New Roman" w:cs="Calibri" w:ascii="Calibri" w:hAnsi="Calibri" w:asciiTheme="minorHAnsi" w:cstheme="minorHAnsi" w:hAnsiTheme="minorHAnsi"/>
          <w:color w:val="000000"/>
          <w:szCs w:val="24"/>
        </w:rPr>
        <w:t>) through email (fna@iith.ac.in)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After shortlisting interview will be conducted through phone/video conference.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The candidate will submit the following documents along with the form 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szCs w:val="24"/>
          <w:lang w:val="en-US"/>
        </w:rPr>
      </w:pPr>
      <w:r>
        <w:rPr>
          <w:rFonts w:eastAsia="Times New Roman" w:cs="Calibri" w:ascii="Calibri" w:hAnsi="Calibri" w:asciiTheme="minorHAnsi" w:cstheme="minorHAnsi" w:hAnsiTheme="minorHAnsi"/>
          <w:szCs w:val="24"/>
          <w:lang w:val="en-US"/>
        </w:rPr>
        <w:t>Copy of the grade transcripts with the explanation of the assigned grades. (Certified English translation is required, if the document is in other language).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szCs w:val="24"/>
          <w:lang w:val="en-US"/>
        </w:rPr>
      </w:pPr>
      <w:r>
        <w:rPr>
          <w:rFonts w:eastAsia="Times New Roman" w:cs="Calibri" w:ascii="Calibri" w:hAnsi="Calibri" w:asciiTheme="minorHAnsi" w:cstheme="minorHAnsi" w:hAnsiTheme="minorHAnsi"/>
          <w:szCs w:val="24"/>
          <w:lang w:val="en-US"/>
        </w:rPr>
        <w:t>Statement of purpose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szCs w:val="24"/>
          <w:lang w:val="en-US"/>
        </w:rPr>
      </w:pPr>
      <w:r>
        <w:rPr>
          <w:rFonts w:eastAsia="Times New Roman" w:cs="Calibri" w:ascii="Calibri" w:hAnsi="Calibri" w:asciiTheme="minorHAnsi" w:cstheme="minorHAnsi" w:hAnsiTheme="minorHAnsi"/>
          <w:szCs w:val="24"/>
        </w:rPr>
        <w:t>Copy of GRE score Card (for full program applicants)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szCs w:val="24"/>
          <w:lang w:val="en-US"/>
        </w:rPr>
      </w:pPr>
      <w:r>
        <w:rPr>
          <w:rFonts w:eastAsia="Times New Roman" w:cs="Calibri" w:ascii="Calibri" w:hAnsi="Calibri" w:asciiTheme="minorHAnsi" w:cstheme="minorHAnsi" w:hAnsiTheme="minorHAnsi"/>
          <w:szCs w:val="24"/>
          <w:lang w:val="en-US"/>
        </w:rPr>
        <w:t xml:space="preserve">Financial undertaking: A copy of the student’s bank statement showing a balance of in equivalence to at least US $ 20000 for full program and </w:t>
      </w:r>
      <w:r>
        <w:rPr>
          <w:rFonts w:eastAsia="Times New Roman" w:cs="Calibri" w:ascii="Calibri" w:hAnsi="Calibri" w:asciiTheme="minorHAnsi" w:cstheme="minorHAnsi" w:hAnsiTheme="minorHAnsi"/>
          <w:szCs w:val="24"/>
        </w:rPr>
        <w:t>US $ 5000 for visiting student</w:t>
      </w:r>
      <w:r>
        <w:rPr>
          <w:rFonts w:eastAsia="Times New Roman" w:cs="Calibri" w:ascii="Calibri" w:hAnsi="Calibri" w:asciiTheme="minorHAnsi" w:cstheme="minorHAnsi" w:hAnsiTheme="minorHAnsi"/>
          <w:szCs w:val="24"/>
          <w:lang w:val="en-US"/>
        </w:rPr>
        <w:t xml:space="preserve"> OR a letter of recommendation from the respective Govt. certifying that the fees will be paid by the Govt.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szCs w:val="24"/>
          <w:lang w:val="en-US"/>
        </w:rPr>
      </w:pPr>
      <w:r>
        <w:rPr>
          <w:rFonts w:eastAsia="Times New Roman" w:cs="Calibri" w:ascii="Calibri" w:hAnsi="Calibri" w:asciiTheme="minorHAnsi" w:cstheme="minorHAnsi" w:hAnsiTheme="minorHAnsi"/>
          <w:szCs w:val="24"/>
          <w:lang w:val="en-US"/>
        </w:rPr>
        <w:t>Three recommendation letters – at least one recommendation should be about the student’s academic performance issued by a faculty member.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szCs w:val="24"/>
          <w:lang w:val="en-US"/>
        </w:rPr>
      </w:pPr>
      <w:r>
        <w:rPr>
          <w:rFonts w:eastAsia="Times New Roman" w:cs="Calibri" w:ascii="Calibri" w:hAnsi="Calibri" w:asciiTheme="minorHAnsi" w:cstheme="minorHAnsi" w:hAnsiTheme="minorHAnsi"/>
          <w:szCs w:val="24"/>
          <w:lang w:val="en-US"/>
        </w:rPr>
        <w:t>Copy of passport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color w:val="000000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  <w:szCs w:val="24"/>
        </w:rPr>
        <w:t>Payment of fees for full program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2"/>
        <w:gridCol w:w="7386"/>
        <w:gridCol w:w="1918"/>
      </w:tblGrid>
      <w:tr>
        <w:trPr/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Sl.</w:t>
            </w:r>
          </w:p>
        </w:tc>
        <w:tc>
          <w:tcPr>
            <w:tcW w:w="7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Amount INR</w:t>
            </w:r>
          </w:p>
        </w:tc>
      </w:tr>
      <w:tr>
        <w:trPr/>
        <w:tc>
          <w:tcPr>
            <w:tcW w:w="9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A) Fees Payable at the Time of Admission:</w:t>
            </w:r>
          </w:p>
        </w:tc>
      </w:tr>
      <w:tr>
        <w:trPr/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Admission Fee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50,000</w:t>
            </w:r>
          </w:p>
        </w:tc>
      </w:tr>
      <w:tr>
        <w:trPr/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International Students Association Fee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10000</w:t>
            </w:r>
          </w:p>
        </w:tc>
      </w:tr>
      <w:tr>
        <w:trPr/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Security Deposit (Refundable)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40000</w:t>
            </w:r>
          </w:p>
        </w:tc>
      </w:tr>
      <w:tr>
        <w:trPr/>
        <w:tc>
          <w:tcPr>
            <w:tcW w:w="7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Total (A)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100,000</w:t>
            </w:r>
          </w:p>
        </w:tc>
      </w:tr>
      <w:tr>
        <w:trPr>
          <w:trHeight w:val="20" w:hRule="atLeast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B)</w:t>
            </w:r>
          </w:p>
        </w:tc>
        <w:tc>
          <w:tcPr>
            <w:tcW w:w="7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Tuition fees 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Semester 1 and 2: Classroom or laboratory courses  </w:t>
            </w:r>
          </w:p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( INR 25000 per credit) Total number of credits varies in between 24 to 30 based on the  department and specializations offered to the student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600,000 to 750,000</w:t>
            </w:r>
          </w:p>
        </w:tc>
      </w:tr>
      <w:tr>
        <w:trPr>
          <w:trHeight w:val="20" w:hRule="atLeast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Semester 3 and 4: Thesis   - 24 credits (INR 15000 per credit)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3,60,000</w:t>
            </w:r>
          </w:p>
        </w:tc>
      </w:tr>
      <w:tr>
        <w:trPr>
          <w:trHeight w:val="20" w:hRule="atLeast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7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Total (B)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9,60,000 to 11,10,000</w:t>
            </w:r>
          </w:p>
        </w:tc>
      </w:tr>
    </w:tbl>
    <w:p>
      <w:pPr>
        <w:pStyle w:val="NoSpacing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705"/>
        <w:gridCol w:w="7169"/>
        <w:gridCol w:w="1872"/>
      </w:tblGrid>
      <w:tr>
        <w:trPr>
          <w:trHeight w:val="283" w:hRule="atLeast"/>
        </w:trPr>
        <w:tc>
          <w:tcPr>
            <w:tcW w:w="7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>
                <w:rStyle w:val="CharacterStyle1"/>
                <w:rFonts w:ascii="Calibri" w:hAnsi="Calibri" w:cs="Calibri" w:asciiTheme="minorHAnsi" w:cstheme="minorHAnsi" w:hAnsiTheme="minorHAnsi"/>
                <w:bCs/>
                <w:spacing w:val="1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C) Hostel and Dining ( per semester)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>
                <w:rStyle w:val="CharacterStyle1"/>
                <w:rFonts w:ascii="Calibri" w:hAnsi="Calibri" w:cs="Calibri" w:asciiTheme="minorHAnsi" w:cstheme="minorHAnsi" w:hAnsiTheme="minorHAnsi"/>
                <w:bCs/>
                <w:spacing w:val="11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bCs/>
                <w:spacing w:val="11"/>
                <w:sz w:val="24"/>
                <w:szCs w:val="24"/>
              </w:rPr>
              <w:t>Amount in Rs.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6</w:t>
            </w:r>
          </w:p>
        </w:tc>
        <w:tc>
          <w:tcPr>
            <w:tcW w:w="7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License Fee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550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7</w:t>
            </w:r>
          </w:p>
        </w:tc>
        <w:tc>
          <w:tcPr>
            <w:tcW w:w="7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Electricity, water &amp; Other Charges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2750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4"/>
                <w:sz w:val="24"/>
                <w:szCs w:val="24"/>
              </w:rPr>
              <w:t>8</w:t>
            </w:r>
          </w:p>
        </w:tc>
        <w:tc>
          <w:tcPr>
            <w:tcW w:w="7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Style w:val="CharacterStyle1"/>
                <w:rFonts w:ascii="Calibri" w:hAnsi="Calibri" w:cs="Calibri" w:asciiTheme="minorHAnsi" w:cstheme="minorHAnsi" w:hAnsiTheme="minorHAnsi"/>
                <w:spacing w:val="4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4"/>
                <w:sz w:val="24"/>
                <w:szCs w:val="24"/>
              </w:rPr>
              <w:t xml:space="preserve">Hostel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&amp; </w:t>
            </w: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Mess Establishment Charges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2200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9</w:t>
            </w:r>
          </w:p>
        </w:tc>
        <w:tc>
          <w:tcPr>
            <w:tcW w:w="7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 xml:space="preserve">Hostel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&amp; </w:t>
            </w: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Mess Amenities Charges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2200</w:t>
            </w:r>
          </w:p>
        </w:tc>
      </w:tr>
      <w:tr>
        <w:trPr>
          <w:trHeight w:val="20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10</w:t>
            </w:r>
          </w:p>
        </w:tc>
        <w:tc>
          <w:tcPr>
            <w:tcW w:w="7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Dining Charges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4"/>
                <w:sz w:val="24"/>
                <w:szCs w:val="24"/>
              </w:rPr>
              <w:t>24750</w:t>
            </w:r>
          </w:p>
        </w:tc>
      </w:tr>
      <w:tr>
        <w:trPr>
          <w:trHeight w:val="20" w:hRule="atLeast"/>
        </w:trPr>
        <w:tc>
          <w:tcPr>
            <w:tcW w:w="7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bCs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bCs/>
                <w:spacing w:val="4"/>
                <w:sz w:val="24"/>
                <w:szCs w:val="24"/>
              </w:rPr>
              <w:t>Total (C)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bCs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bCs/>
                <w:spacing w:val="4"/>
                <w:sz w:val="24"/>
                <w:szCs w:val="24"/>
              </w:rPr>
              <w:t>32450</w:t>
            </w:r>
          </w:p>
        </w:tc>
      </w:tr>
    </w:tbl>
    <w:p>
      <w:pPr>
        <w:pStyle w:val="NoSpacing"/>
        <w:jc w:val="both"/>
        <w:rPr>
          <w:rFonts w:ascii="Calibri" w:hAnsi="Calibri" w:cs="Calibri" w:asciiTheme="minorHAnsi" w:cstheme="minorHAnsi" w:hAnsiTheme="minorHAnsi"/>
          <w:spacing w:val="12"/>
          <w:sz w:val="24"/>
          <w:szCs w:val="24"/>
        </w:rPr>
      </w:pPr>
      <w:r>
        <w:rPr>
          <w:rFonts w:cs="Calibri" w:cstheme="minorHAnsi" w:ascii="Calibri" w:hAnsi="Calibri"/>
          <w:spacing w:val="12"/>
          <w:sz w:val="24"/>
          <w:szCs w:val="24"/>
        </w:rPr>
      </w:r>
    </w:p>
    <w:p>
      <w:pPr>
        <w:pStyle w:val="NoSpacing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pacing w:val="12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12"/>
          <w:sz w:val="24"/>
          <w:szCs w:val="24"/>
        </w:rPr>
        <w:t>The student will have to submit fees for the courses she/he need to repeat due to fail grade</w:t>
      </w:r>
    </w:p>
    <w:p>
      <w:pPr>
        <w:pStyle w:val="NoSpacing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pacing w:val="12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pacing w:val="12"/>
          <w:sz w:val="24"/>
          <w:szCs w:val="24"/>
        </w:rPr>
        <w:t xml:space="preserve">In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2"/>
          <w:sz w:val="24"/>
          <w:szCs w:val="24"/>
        </w:rPr>
        <w:t xml:space="preserve">addition to above, all students are required to pay Medical Insurance Premium on actual cost basis </w:t>
      </w:r>
    </w:p>
    <w:p>
      <w:pPr>
        <w:pStyle w:val="NoSpacing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pacing w:val="12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The Hostel and Dining charges excludes the vacation period (summer and winter) </w:t>
      </w:r>
    </w:p>
    <w:p>
      <w:pPr>
        <w:pStyle w:val="NoSpacing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pacing w:val="12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Dining Charges, Medical Insurance Premium, and Electricity, water &amp; other charges are subject to revision.</w:t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  <w:szCs w:val="24"/>
        </w:rPr>
        <w:t>Payment of fees for visiting students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2"/>
        <w:gridCol w:w="263"/>
        <w:gridCol w:w="7124"/>
        <w:gridCol w:w="45"/>
        <w:gridCol w:w="1872"/>
      </w:tblGrid>
      <w:tr>
        <w:trPr/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Sl.</w:t>
            </w:r>
          </w:p>
        </w:tc>
        <w:tc>
          <w:tcPr>
            <w:tcW w:w="7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Amount INR</w:t>
            </w:r>
          </w:p>
        </w:tc>
      </w:tr>
      <w:tr>
        <w:trPr/>
        <w:tc>
          <w:tcPr>
            <w:tcW w:w="97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A) Administrative fee:</w:t>
            </w:r>
          </w:p>
        </w:tc>
      </w:tr>
      <w:tr>
        <w:trPr/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Admission Fee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5,000</w:t>
            </w:r>
          </w:p>
        </w:tc>
      </w:tr>
      <w:tr>
        <w:trPr/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Security Deposit (Refundable)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10000</w:t>
            </w:r>
          </w:p>
        </w:tc>
      </w:tr>
      <w:tr>
        <w:trPr/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7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Total (A)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15,000</w:t>
            </w:r>
          </w:p>
        </w:tc>
      </w:tr>
      <w:tr>
        <w:trPr>
          <w:trHeight w:val="20" w:hRule="atLeast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B)</w:t>
            </w:r>
          </w:p>
        </w:tc>
        <w:tc>
          <w:tcPr>
            <w:tcW w:w="7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Tuition fees 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Classroom or laboratory courses  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25000 per credit </w:t>
            </w:r>
          </w:p>
        </w:tc>
      </w:tr>
      <w:tr>
        <w:trPr>
          <w:trHeight w:val="20" w:hRule="atLeast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Research project of six month duration 12 credits 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15000 per credit</w:t>
            </w:r>
          </w:p>
        </w:tc>
      </w:tr>
      <w:tr>
        <w:trPr>
          <w:trHeight w:val="283" w:hRule="atLeast"/>
        </w:trPr>
        <w:tc>
          <w:tcPr>
            <w:tcW w:w="7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>
                <w:rStyle w:val="CharacterStyle1"/>
                <w:rFonts w:ascii="Calibri" w:hAnsi="Calibri" w:cs="Calibri" w:asciiTheme="minorHAnsi" w:cstheme="minorHAnsi" w:hAnsiTheme="minorHAnsi"/>
                <w:bCs/>
                <w:spacing w:val="11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C) Hostel and Dining ( per semester of four month duration)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>
                <w:rStyle w:val="CharacterStyle1"/>
                <w:rFonts w:ascii="Calibri" w:hAnsi="Calibri" w:cs="Calibri" w:asciiTheme="minorHAnsi" w:cstheme="minorHAnsi" w:hAnsiTheme="minorHAnsi"/>
                <w:bCs/>
                <w:spacing w:val="11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bCs/>
                <w:spacing w:val="11"/>
                <w:sz w:val="24"/>
                <w:szCs w:val="24"/>
              </w:rPr>
              <w:t>Amount in Rs.</w:t>
            </w:r>
          </w:p>
        </w:tc>
      </w:tr>
      <w:tr>
        <w:trPr>
          <w:trHeight w:val="20" w:hRule="atLeast"/>
        </w:trPr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6</w:t>
            </w:r>
          </w:p>
        </w:tc>
        <w:tc>
          <w:tcPr>
            <w:tcW w:w="7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License Fee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550</w:t>
            </w:r>
          </w:p>
        </w:tc>
      </w:tr>
      <w:tr>
        <w:trPr>
          <w:trHeight w:val="20" w:hRule="atLeast"/>
        </w:trPr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7</w:t>
            </w:r>
          </w:p>
        </w:tc>
        <w:tc>
          <w:tcPr>
            <w:tcW w:w="7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Electricity, water &amp; Other Charges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2750</w:t>
            </w:r>
          </w:p>
        </w:tc>
      </w:tr>
      <w:tr>
        <w:trPr>
          <w:trHeight w:val="20" w:hRule="atLeast"/>
        </w:trPr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4"/>
                <w:sz w:val="24"/>
                <w:szCs w:val="24"/>
              </w:rPr>
              <w:t>8</w:t>
            </w:r>
          </w:p>
        </w:tc>
        <w:tc>
          <w:tcPr>
            <w:tcW w:w="7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Style w:val="CharacterStyle1"/>
                <w:rFonts w:ascii="Calibri" w:hAnsi="Calibri" w:cs="Calibri" w:asciiTheme="minorHAnsi" w:cstheme="minorHAnsi" w:hAnsiTheme="minorHAnsi"/>
                <w:spacing w:val="4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4"/>
                <w:sz w:val="24"/>
                <w:szCs w:val="24"/>
              </w:rPr>
              <w:t xml:space="preserve">Hostel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&amp; </w:t>
            </w: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Mess Establishment Charges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2200</w:t>
            </w:r>
          </w:p>
        </w:tc>
      </w:tr>
      <w:tr>
        <w:trPr>
          <w:trHeight w:val="20" w:hRule="atLeast"/>
        </w:trPr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9</w:t>
            </w:r>
          </w:p>
        </w:tc>
        <w:tc>
          <w:tcPr>
            <w:tcW w:w="7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 xml:space="preserve">Hostel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 xml:space="preserve">&amp; </w:t>
            </w: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Mess Amenities Charges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2200</w:t>
            </w:r>
          </w:p>
        </w:tc>
      </w:tr>
      <w:tr>
        <w:trPr>
          <w:trHeight w:val="20" w:hRule="atLeast"/>
        </w:trPr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Style w:val="CharacterStyle1"/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10</w:t>
            </w:r>
          </w:p>
        </w:tc>
        <w:tc>
          <w:tcPr>
            <w:tcW w:w="7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pacing w:val="2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2"/>
                <w:sz w:val="24"/>
                <w:szCs w:val="24"/>
              </w:rPr>
              <w:t>Dining Charges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spacing w:val="4"/>
                <w:sz w:val="24"/>
                <w:szCs w:val="24"/>
              </w:rPr>
              <w:t>24750</w:t>
            </w:r>
          </w:p>
        </w:tc>
      </w:tr>
      <w:tr>
        <w:trPr>
          <w:trHeight w:val="20" w:hRule="atLeast"/>
        </w:trPr>
        <w:tc>
          <w:tcPr>
            <w:tcW w:w="7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bCs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bCs/>
                <w:spacing w:val="4"/>
                <w:sz w:val="24"/>
                <w:szCs w:val="24"/>
              </w:rPr>
              <w:t>Total (C)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right"/>
              <w:rPr>
                <w:rStyle w:val="CharacterStyle1"/>
                <w:rFonts w:ascii="Calibri" w:hAnsi="Calibri" w:cs="Calibri" w:asciiTheme="minorHAnsi" w:cstheme="minorHAnsi" w:hAnsiTheme="minorHAnsi"/>
                <w:bCs/>
                <w:spacing w:val="4"/>
                <w:sz w:val="24"/>
                <w:szCs w:val="24"/>
              </w:rPr>
            </w:pPr>
            <w:r>
              <w:rPr>
                <w:rStyle w:val="CharacterStyle1"/>
                <w:rFonts w:cs="Calibri" w:ascii="Calibri" w:hAnsi="Calibri" w:asciiTheme="minorHAnsi" w:cstheme="minorHAnsi" w:hAnsiTheme="minorHAnsi"/>
                <w:bCs/>
                <w:spacing w:val="4"/>
                <w:sz w:val="24"/>
                <w:szCs w:val="24"/>
              </w:rPr>
              <w:t>32450</w:t>
            </w:r>
          </w:p>
        </w:tc>
      </w:tr>
    </w:tbl>
    <w:p>
      <w:pPr>
        <w:pStyle w:val="NoSpacing"/>
        <w:jc w:val="both"/>
        <w:rPr>
          <w:rFonts w:ascii="Calibri" w:hAnsi="Calibri" w:cs="Calibri" w:asciiTheme="minorHAnsi" w:cstheme="minorHAnsi" w:hAnsiTheme="minorHAnsi"/>
          <w:spacing w:val="12"/>
          <w:sz w:val="24"/>
          <w:szCs w:val="24"/>
        </w:rPr>
      </w:pPr>
      <w:r>
        <w:rPr>
          <w:rFonts w:cs="Calibri" w:cstheme="minorHAnsi" w:ascii="Calibri" w:hAnsi="Calibri"/>
          <w:spacing w:val="12"/>
          <w:sz w:val="24"/>
          <w:szCs w:val="24"/>
        </w:rPr>
      </w:r>
    </w:p>
    <w:p>
      <w:pPr>
        <w:pStyle w:val="NoSpacing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pacing w:val="12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pacing w:val="12"/>
          <w:sz w:val="24"/>
          <w:szCs w:val="24"/>
        </w:rPr>
        <w:t xml:space="preserve">In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2"/>
          <w:sz w:val="24"/>
          <w:szCs w:val="24"/>
        </w:rPr>
        <w:t xml:space="preserve">addition to above, all students are required to pay Medical Insurance Premium on actual cost basis </w:t>
      </w:r>
    </w:p>
    <w:p>
      <w:pPr>
        <w:pStyle w:val="NoSpacing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pacing w:val="12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The charges will be pro rata basis for the visiting students who will stay for a shorter duration. </w:t>
      </w:r>
    </w:p>
    <w:p>
      <w:pPr>
        <w:pStyle w:val="NoSpacing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pacing w:val="12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Dining Charges, Medical Insurance Premium, and Electricity, water &amp; other charges are subject to revision.</w:t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Spacing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Mode of payment of fees </w:t>
      </w:r>
    </w:p>
    <w:p>
      <w:pPr>
        <w:pStyle w:val="NoSpacing"/>
        <w:numPr>
          <w:ilvl w:val="1"/>
          <w:numId w:val="4"/>
        </w:numPr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 xml:space="preserve">All the fees (except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Hostel and Dining)</w:t>
      </w: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 xml:space="preserve"> shall be paid in the form of Traveler’s cheques / Bankers cheques / Demand Draft in USD or equivalent in INR with Exchange rate applicable as on the first date of semester.</w:t>
      </w:r>
    </w:p>
    <w:p>
      <w:pPr>
        <w:pStyle w:val="NoSpacing"/>
        <w:numPr>
          <w:ilvl w:val="1"/>
          <w:numId w:val="4"/>
        </w:numPr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Hostel and Dining fees will be paid in INR at IIT Hyderabad bank counter</w:t>
      </w:r>
    </w:p>
    <w:p>
      <w:pPr>
        <w:pStyle w:val="NoSpacing"/>
        <w:ind w:left="1080" w:hanging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NoSpacing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Application deadlines: 30 April, 2018</w:t>
      </w:r>
    </w:p>
    <w:p>
      <w:pPr>
        <w:pStyle w:val="Style14"/>
        <w:ind w:right="-20" w:hanging="90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 xml:space="preserve">Visa requirements: </w:t>
      </w:r>
      <w:r>
        <w:rPr>
          <w:rFonts w:cs="Calibri" w:ascii="Calibri" w:hAnsi="Calibri" w:asciiTheme="minorHAnsi" w:cstheme="minorHAnsi" w:hAnsiTheme="minorHAnsi"/>
          <w:szCs w:val="24"/>
        </w:rPr>
        <w:t>All Foreign nationals are required to obtain Student visa before they can register at IITH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 xml:space="preserve">IMPORTANT CONTACTS  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For more details, contact: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Joint Registrar (AP) IIT Hyderabad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Email: jracad@iith.ac.in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Phone: +914023016102, +914023016147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Web Links: www.iith.ac.in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cstheme="minorHAnsi" w:ascii="Calibri" w:hAnsi="Calibri"/>
          <w:b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 xml:space="preserve">Important links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Visa related: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http://india.gov.in/overseas/passport/passport.php?id=6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http://india.gov.in/overseas/passport/passport.php?id=7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http://india.gov.in/overseas/passport/passport.php?id=8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http://india.gov.in/overseas/passport/passport.php?id=9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http://india.gov.in/overseas/passport/passport.php?id=10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Information for foreigners: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http://india.gov.in/overseas/passport/passport.php?id=11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http://india.gov.in/overseas/passport/passport.php?id=12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http://india.gov.in/overseas/passport/passport.php?id=13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http://india.gov.in/overseas/passport/passport.php?id=14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http://www.immigrationindia.nic.in/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http://www.mumbaipolice.org/FRRO/main.htm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Downloads: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http://www.immigrationindia.nic.in/Registration%20Form.pdf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http://www.immigrationindia.nic.in/Extension%20Form.pdf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http://www.mha.nic.in/pdfs/new_applicaton_form_visa.pdf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Ministry of Home Affairs link:</w:t>
      </w:r>
    </w:p>
    <w:p>
      <w:pPr>
        <w:pStyle w:val="Normal"/>
        <w:spacing w:lineRule="auto" w:line="240" w:before="0" w:after="0"/>
        <w:rPr/>
      </w:pPr>
      <w:r>
        <w:rPr>
          <w:rFonts w:cs="Calibri" w:ascii="Calibri" w:hAnsi="Calibri" w:asciiTheme="minorHAnsi" w:cstheme="minorHAnsi" w:hAnsiTheme="minorHAnsi"/>
          <w:szCs w:val="24"/>
        </w:rPr>
        <w:t>http://mha.nic.in/ForeigDiv/ForeigHome.html 4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decimal"/>
      <w:lvlText w:val="%1."/>
      <w:lvlJc w:val="left"/>
      <w:pPr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2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39ba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40c1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40c16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40c16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40c16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17537e"/>
    <w:rPr>
      <w:color w:val="0563C1" w:themeColor="hyperlink"/>
      <w:u w:val="single"/>
    </w:rPr>
  </w:style>
  <w:style w:type="character" w:styleId="CharacterStyle1" w:customStyle="1">
    <w:name w:val="Character Style 1"/>
    <w:uiPriority w:val="99"/>
    <w:qFormat/>
    <w:rsid w:val="0017537e"/>
    <w:rPr>
      <w:rFonts w:ascii="Arial" w:hAnsi="Arial"/>
      <w:sz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739b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40c1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a40c16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40c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4" w:customStyle="1">
    <w:name w:val="Style 1"/>
    <w:uiPriority w:val="99"/>
    <w:qFormat/>
    <w:rsid w:val="0017537e"/>
    <w:pPr>
      <w:widowControl w:val="false"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sz w:val="20"/>
      <w:szCs w:val="20"/>
      <w:lang w:val="en-US" w:eastAsia="en-US" w:bidi="ar-SA"/>
    </w:rPr>
  </w:style>
  <w:style w:type="paragraph" w:styleId="NoSpacing">
    <w:name w:val="No Spacing"/>
    <w:uiPriority w:val="1"/>
    <w:qFormat/>
    <w:rsid w:val="0017537e"/>
    <w:pPr>
      <w:widowControl w:val="false"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a66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ith.ac.in/index.php/admission/mtech-admission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98D2-E784-4E1D-A9F1-897C123A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5</Pages>
  <Words>1199</Words>
  <Characters>7120</Characters>
  <CharactersWithSpaces>8123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2018-02-23T08:10:00Z</dcterms:created>
  <dc:creator>abhay sharma</dc:creator>
  <dc:description/>
  <dc:language>en-IN</dc:language>
  <cp:lastModifiedBy/>
  <dcterms:modified xsi:type="dcterms:W3CDTF">2018-03-21T12:16:06Z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